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u w:val="single"/>
          <w:lang w:eastAsia="es-CL"/>
        </w:rPr>
        <w:t>Estimado/a Proveedor/a</w:t>
      </w:r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 xml:space="preserve">En el marco de la normativa vigente y a fin de otorgar una oportuna y adecuada gestión de pago a sus facturas, el Gobierno  Regional de  Antofagasta  le recuerda que éstas deben ser emitidas según la información disponible en la orden de compra, señalando claramente la Razón Social de 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Gob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 xml:space="preserve">ierno  Regional de  Antofagasta, RUT, dirección y persona de contacto. Se solicita actualizar esta información en su mantenedor de clientes, en caso de que evidencie que la información de la orden de compra sea distinta a la que usted tiene registrada para el RUT del  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Gob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ierno  Regional de  Antofagasta.</w:t>
      </w:r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u w:val="single"/>
          <w:lang w:eastAsia="es-CL"/>
        </w:rPr>
        <w:t>Adicionalmente es obligación que usted llene el campo 801 con el ID de la orden de compra bajo la misma nomenclatura definida en </w:t>
      </w:r>
      <w:hyperlink r:id="rId5" w:tgtFrame="_blank" w:history="1">
        <w:r w:rsidRPr="00627A84">
          <w:rPr>
            <w:rFonts w:eastAsia="Times New Roman" w:cs="Arial"/>
            <w:b/>
            <w:bCs/>
            <w:color w:val="0000FF"/>
            <w:sz w:val="20"/>
            <w:szCs w:val="20"/>
            <w:u w:val="single"/>
            <w:lang w:eastAsia="es-CL"/>
          </w:rPr>
          <w:t>www.mercadopublico.cl</w:t>
        </w:r>
      </w:hyperlink>
      <w:r w:rsidRPr="00627A84">
        <w:rPr>
          <w:rFonts w:eastAsia="Times New Roman" w:cs="Arial"/>
          <w:b/>
          <w:bCs/>
          <w:color w:val="000000"/>
          <w:sz w:val="20"/>
          <w:szCs w:val="20"/>
          <w:u w:val="single"/>
          <w:lang w:eastAsia="es-CL"/>
        </w:rPr>
        <w:t> (sin espacios y con los guiones que corresponden), a fin de que el sistema permita de forma automática relacionar su factura a la orden de compra y a la recepción conforme. Del mismo modo deben también indicar la opción de pago: “Crédito”.</w:t>
      </w:r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La factura debe ser ingresada electrónicamente a la siguiente casilla: </w:t>
      </w:r>
      <w:hyperlink r:id="rId6" w:tgtFrame="_blank" w:history="1">
        <w:r w:rsidRPr="00627A84">
          <w:rPr>
            <w:rStyle w:val="Hipervnculo"/>
            <w:color w:val="1155CC"/>
            <w:sz w:val="20"/>
            <w:szCs w:val="20"/>
            <w:shd w:val="clear" w:color="auto" w:fill="FFFFFF"/>
          </w:rPr>
          <w:t>dipresrecepcion@custodium.co</w:t>
        </w:r>
      </w:hyperlink>
      <w:r w:rsidRPr="00627A84">
        <w:rPr>
          <w:color w:val="0000EE"/>
          <w:sz w:val="20"/>
          <w:szCs w:val="20"/>
          <w:u w:val="single"/>
          <w:shd w:val="clear" w:color="auto" w:fill="FFFFFF"/>
        </w:rPr>
        <w:t>m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, con copia del PDF a correo electrónico: </w:t>
      </w:r>
      <w:hyperlink r:id="rId7" w:tgtFrame="_blank" w:history="1">
        <w:r w:rsidRPr="00627A84">
          <w:rPr>
            <w:rStyle w:val="Hipervnculo"/>
            <w:rFonts w:cs="Arial"/>
            <w:color w:val="1155CC"/>
            <w:sz w:val="20"/>
            <w:szCs w:val="20"/>
            <w:shd w:val="clear" w:color="auto" w:fill="FFFFFF"/>
          </w:rPr>
          <w:t>consultasdte@goreantofagasta.cl</w:t>
        </w:r>
      </w:hyperlink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, donde podrá acompañar otros antecedentes, si así corresponde.</w:t>
      </w:r>
      <w:bookmarkStart w:id="0" w:name="_GoBack"/>
      <w:bookmarkEnd w:id="0"/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 xml:space="preserve">El 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Gobierno  Regional de  Antofagasta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, en el marco de lo dispuesto en el N° 2 del artículo 3° de la Ley 19.983, tendrá un plazo de ocho días corridos siguientes a la recepción de la factura para reclamar de su contenido o tenerse por irrevocablemente aceptada, en caso de ser rechazada dicho rechazo se materializará a través de la misma plataforma del SII.</w:t>
      </w:r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u w:val="single"/>
          <w:lang w:eastAsia="es-CL"/>
        </w:rPr>
        <w:t xml:space="preserve">Es su responsabilidad incorporar como documentos adjuntos los antecedentes que se requieran como parte del contrato o acuerdo con el </w:t>
      </w:r>
      <w:r w:rsidRPr="00627A84">
        <w:rPr>
          <w:rFonts w:eastAsia="Times New Roman" w:cs="Arial"/>
          <w:color w:val="000000"/>
          <w:sz w:val="20"/>
          <w:szCs w:val="20"/>
          <w:u w:val="single"/>
          <w:lang w:eastAsia="es-CL"/>
        </w:rPr>
        <w:t>Gobierno  Regional de  Antofagasta</w:t>
      </w:r>
      <w:r w:rsidRPr="00627A84">
        <w:rPr>
          <w:rFonts w:eastAsia="Times New Roman" w:cs="Arial"/>
          <w:color w:val="000000"/>
          <w:sz w:val="20"/>
          <w:szCs w:val="20"/>
          <w:u w:val="single"/>
          <w:lang w:eastAsia="es-CL"/>
        </w:rPr>
        <w:t xml:space="preserve"> para materializar el pago (guías de despacho, informes, certificado de leyes sociales, etc.)</w:t>
      </w:r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Adicionalmente informamos que partir del mes de mayo 2020, la Administración ha determinado algunos ajustes en la operación de pago a proveedores para todos los Servicios Públicos, lo que implica, entre otros efectos, </w:t>
      </w:r>
      <w:r w:rsidRPr="00627A84">
        <w:rPr>
          <w:rFonts w:eastAsia="Times New Roman" w:cs="Arial"/>
          <w:color w:val="000000"/>
          <w:sz w:val="20"/>
          <w:szCs w:val="20"/>
          <w:u w:val="single"/>
          <w:lang w:eastAsia="es-CL"/>
        </w:rPr>
        <w:t>que los pagos se realizarán centralizadamente desde la Tesorería General de la República (TGR), vía transferencia a las cuentas corrientes de los proveedores del Estado.</w:t>
      </w:r>
    </w:p>
    <w:p w:rsidR="00627A84" w:rsidRPr="00627A84" w:rsidRDefault="00627A84" w:rsidP="00627A84">
      <w:pPr>
        <w:spacing w:after="195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El sistema de pago centralizado persigue dos propósitos directos: garantizar el cumplimiento de la Ley N° 21.131 de Pago a 30 días y permitir un mejor manejo de los recursos financieros del Fisco y de manera indirecta, el sistema busca evitar problemas de liquidez en los proveedores del Estado, especialmente los pequeños y medianos.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Por lo anterior y a fin de mitigar errores o descoordinaciones al momento del pago, </w:t>
      </w:r>
      <w:r w:rsidRPr="00627A84">
        <w:rPr>
          <w:rFonts w:eastAsia="Times New Roman" w:cs="Arial"/>
          <w:color w:val="000000"/>
          <w:sz w:val="20"/>
          <w:szCs w:val="20"/>
          <w:u w:val="single"/>
          <w:lang w:eastAsia="es-CL"/>
        </w:rPr>
        <w:t>será obligación que usted informe</w:t>
      </w: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, mediante correo electrónico o directamente consignándolo en su factura o documento tributario los siguientes datos: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color w:val="000000"/>
          <w:sz w:val="20"/>
          <w:szCs w:val="20"/>
          <w:lang w:eastAsia="es-CL"/>
        </w:rPr>
        <w:t> 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lang w:eastAsia="es-CL"/>
        </w:rPr>
        <w:t>Razón Social: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lang w:eastAsia="es-CL"/>
        </w:rPr>
        <w:t>RUT: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lang w:eastAsia="es-CL"/>
        </w:rPr>
        <w:t>Banco: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lang w:eastAsia="es-CL"/>
        </w:rPr>
        <w:t>N° Cuenta Corriente:</w:t>
      </w:r>
    </w:p>
    <w:p w:rsidR="00627A84" w:rsidRPr="00627A84" w:rsidRDefault="00627A84" w:rsidP="00627A8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627A84">
        <w:rPr>
          <w:rFonts w:eastAsia="Times New Roman" w:cs="Arial"/>
          <w:b/>
          <w:bCs/>
          <w:color w:val="000000"/>
          <w:sz w:val="20"/>
          <w:szCs w:val="20"/>
          <w:lang w:eastAsia="es-CL"/>
        </w:rPr>
        <w:t>Correo electrónico para la notificación:</w:t>
      </w:r>
    </w:p>
    <w:p w:rsidR="00AE1FFC" w:rsidRPr="00627A84" w:rsidRDefault="00AE1FFC">
      <w:pPr>
        <w:rPr>
          <w:sz w:val="20"/>
          <w:szCs w:val="20"/>
        </w:rPr>
      </w:pPr>
    </w:p>
    <w:sectPr w:rsidR="00AE1FFC" w:rsidRPr="00627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627A84"/>
    <w:rsid w:val="00A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7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7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sdte@goreantofagast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resrecepcion@custodium.com" TargetMode="External"/><Relationship Id="rId5" Type="http://schemas.openxmlformats.org/officeDocument/2006/relationships/hyperlink" Target="http://www.mercadopublico.c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2626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2020-09-07T23:12:00Z</dcterms:created>
  <dcterms:modified xsi:type="dcterms:W3CDTF">2020-09-07T23:22:00Z</dcterms:modified>
</cp:coreProperties>
</file>